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04.12.2020, оставленным без изменения постановлением Семнадцатого арбитражного апелляционного суда от 24.03.2021 и постановлением Арбитражного суда Уральского округа от 29.06.2021, в удовлетворении заявления отказано. В кассационной жалобе общество «Агроинвест» просит отменить судебные акты, ссылаясь на ненадлежащие исследование обстоятельств совершения сделок и оценку поведения их участников.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сделки об отчуждении имущества совершены должником за пределами периода подозрительности, в связи с чем не попадают под основания недействительности, предусмотренные Федеральным законом от 26.10.2002 № 127-ФЗ «О несостоятельности (банкротстве). Правомочные на применение статьи 10 Гражданского кодекса Российской Федерации суды не усмотрели недобросовестности в действиях покупателей отчуждаемого должником имущества, в связи с чем отказали в признании недействительными сделок на основании статьи 168 Кодекса. Требуемая переоценка выводов судов об обстоятельствах совершения сделок и поведении их участников не создает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