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18.02.2021, оставленным без изменения постановлением Девятого арбитражного апелляционного суда от 26.04.2021 и постановлением Арбитражного суда Московского округа от 06.08.2021, иск удовлетворен.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города Москвы.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проверив расчеты сальдо встречных обязательств по договорам лизинга, установив, что финансовый результат сделок составляет убыток для истца (лизингодатель) в заявленном размере, не усмотрев в действиях последнего по реализации предметов лизинга неразумного и недобросовестного поведения, руководствуясь статьями 15 , 309 , 310 , 421 , 431 , 450 Гражданского кодекса Российской Федерации, разъяснениями, изложенными в постановлении Пленума Высшего Арбитражного Суда Российской Федерации от 14.03.2014 № 17 «Об отдельных вопросах, связанных с договором выкупного лизинга», суды первой и апелляционной инстанций пришли к выводу о наличии оснований для удовлетворения исковых требований, с чем впоследствии согласился суд округа. Доводы кассационной жалобы были предметом рассмотрения судов и получили оценку, по существу направлены на переоценку доказательств и фактических обстоятельств дела,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«ТранКо»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