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22.03.2021, оставленным без изменения постановлением Пятнадцатого арбитражного апелляционного суда от 01.06.2021 и постановлением Арбитражного суда Северо-Кавказского округа от 11.08.2021, в удовлетворении иска отказано. Министерство просит обжалуемые судебные акты отменить, считая их незаконными и необоснованными.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Отказывая в удовлетворении требований, суды руководствовались положениями статей 195 , 196 , 199 , 200 , 202 , 207 Гражданского кодекса Российской Федерации, статьи 4 Арбитражного процессуального кодекса Российской Федерации, принимая во внимание постановление Пленума Верховного Суда Российской Федерации № 43 от 29.09.2015 «О некоторых вопросах, связанных с применением норм Гражданского кодекса Российской Федерации об исковой давности», и исходили из пропуска заказчиком срока исковой давности на обращение в суд по требованию о взыскании неустойки в связи с просрочкой поставки предприятием товара по государственному контракту. Доводы жалобы повторяют позицию министерства по делу, являлись предметом рассмотрения судов и получили исчерпывающую правовую оценку в обжалуемых судебных актах, не согласиться с которой оснований не имеется. Доводы заявителя о соблюдении срока исковой давности, по сути, связаны с иным толкованием норм права и выводы судов не опровергают.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