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22.11.2021 направило в Верховный Суд Российской Федерации повторную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Предприятие в ходатайстве ссылается на направление им 03.09.2021 кассационной жалобы в Верховный Суд Российской Федерации через Арбитражный суд Республики Крым (была возвращена заявителю в связи с неправильной подачей). Как следует из кассационного производства, первоначально поданная 21.09.2021 в Верховный Суд Российской Федерации с пропуском двухмесячного срока жалоба возвращена заявителю в связи с несоблюдением порядка обращения (в нарушение пункта 3 части 5 статьи 291.3 Арбитражного процессуального кодекса Российской Федерации к кассационной жалобе не приложен документ, подтверждающий наличие высшего юридического образования представителя, подписавшего жалобу). Нарушение порядка подачи кассационной жалобы,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Государственного унитарного предприятия Республики Крым «Крымэнерго»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