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10.11.2020, оставленным без изменения постановлением Девятнадцатого арбитражного апелляционного суда от 18.02.2021 и постановлением Арбитражного суда Центрального округа от 28.06.2021, в удовлетворении заявления отказано. В кассационной жалобе Шварцбург С.А. просит об отмене судебных актов, ссылаясь на несоответствие их фактическим обстоятельствам дела, неосновательное отклонение апелляционным судом обоснования несвоевременного представления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проверили заявленные требования на соответствие критериям для включения в реестр, предусмотренным статьями 71, 100 Федерального закона от 26.10.2002 № 127-ФЗ «О несостоятельности (банкротстве)» и их судебным толкованием и, установив отсутствие у заявителя финансовой возможности предоставить спорную сумму должнику и фактическую его аффилированность с должником, признали требования не обоснованными. Отказ апелляционного суда в удовлетворении ходатайства заявителя об отложении рассмотрения жалобы для формирования дополнительной позиции соответствует процессуальным нормам.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Шварцбургу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