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Брянской области от 02.02.2021, оставленным без изменения постановлением Двадцатого арбитражного апелляционного суда от 30.04.2021 и постановлением Арбитражного суда Центрального округа от 04.08.2021, требование признано обоснованным и подлежащим включению в третью очередь реестра. В кассационной жалобе Ромашов А.Ф. просит отменить судебные акты, ссылаясь на игнорирование установленных судом общей юрисдикции обстоятельств.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требование кредитора подтверждено вступившим в законную силу судебным актом суда общей юрисдикции и не исполнено должником, поэтому включено в его реестр в силу статей 71, 100 Федерального закона от 26.10.2002 № 127-ФЗ «О несостоятельности (банкротстве)». Обстоятельства, установленные судом общей юрисдикции, положены в основу обжалуемых судебных актов, что опровергает довод заявителя об игнорировании их арбитражными судами.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Ромашову Александру Филипповичу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