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21.12.2020, оставленным без изменения постановлением Пятнадцатого арбитражного апелляционного суда от 10.03.2021 и постановлением Арбитражного суда Северо-Кавказского округа от 15.07.2021, иск удовлетворен. В кассационной жалобе общество «Торговый дом «РИФ» просит о пересмотре судебных актов, ссылаясь на признание судами оказания услуги списанием платы за нее, подачу заявок в соответствии с условиями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нарушение договора от 15.03.2018 № 260/ТЦФТО/СК, условиями которого является утвержденная распоряжением истца от 09.06.2016 Технология, ответчиком заблаговременно не поданы заявки на продление отстоя вагонов и не оформлены железнодорожные накладные на вывод вагонов из отстоя, а заявки, на которые ответчик ссылается, оформлены на новый срок. За указанные нарушения применена согласованная договором ответственность, не связанная с оказанием услуги, спор в связи с которой отсутствует.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«РИФ»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