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15.12.2020, оставленным без изменения постановлением Десятого арбитражного апелляционного суда от 20.04.2021 и постановлением Арбитражного суда Московского округа от 02.08.2021, иск удовлетворен. В кассационной жалобе общество «БоардЛайн» просит отменить судебные акты, ссылаясь на отсутствие оценки возражений и вины в возникновении заявленных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Требуемые в силу статей 15 , 393 Гражданского кодекса Российской Федерации убытки взыскиваются за нарушение обязательства по договору от 19.12.2017 № МСК/002/17, поэтому суды со ссылкой на статью 401 Кодекса указали, что вина не является основанием ответственности за неисполнение договора. Суды установили, что к понесенным расходам, взыскиваемым как убытки, привели действия ответчика, своевременно не доведшего до заказчика (истца) требование таможни о представлении сведений о таможенной стоимости товара. Установленные судами обстоятельства, составляющие условия для взыскания убытков, не пересматриваются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«БоардЛайн»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