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08.12.2020, оставленным без изменения постановлением Девятнадцатого арбитражного апелляционного суда от 11.03.2021 и постановлением Арбитражного суда Центрального округа от 06.07.2021, в иске отказано в связи с истечением срока исковой давности, о применении которой заявил ответчик. В кассационной жалобе общество «Экспресс-Логистик» просит об отмене судебных актов, ссылаясь на неправильное применение норм права об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195 , 196 , 199 , 202 Гражданского кодекса Российской Федерации, статьей 32 Конвенции о договоре международной перевозки грузов (19.05.1956 Женева), суды отказали в удовлетворении иска, установив, что на момент обращения в арбитражный суд срок исковой давности, исчисляемый с учетом приостановления на период претензионного порядка урегулирования спора, истек. Вопрос о перерыве течения срока исковой давности своевременно не заявлялся и судами не обсуждался, поэтому связанный с ним довод не влияет на судьбу судебных актов в кассационном производстве.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«Экспресс-Логистик»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