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13.10.2020, оставленным без изменения постановлением Девятого арбитражного апелляционного суда от 04.02.2021 и постановлением Арбитражного суда Московского округа от 28.06.2021, первоначальный иск удовлетворен, в удовлетворении встречного иска отказано. В кассационной жалобе фирма просит отменить судебные акты в отношении 1 489 164 рублей 23 копеек задолженности по первоначальному иску и неустойки во встречному иску, ссылаясь на неустановление выполнения работ на указанную сумму, исчисление неустойки от стоимости невыполненных работ.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на сумму в 1 489 164 рубль 23 копейки выполнены работы, в отношении которых имеется локальная смета, дополнительное соглашение и оформлен акт приемки. Установленные судами обстоятельства, составляющие условия для применения договорной ответственности, не пересматриваются в кассационном порядке.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 производственная фирма «ФИТО»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