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11.02.2021, оставленным без изменения постановлением Первого арбитражного апелляционного суда от 18.05.2021 и постановлением Арбитражного суда Волго-Вятского округа от 13.08.2021, процедура реализации имущества должника завершена, должник не освобожден от исполнения требований кредитного потребительского кооператива «КредитЪ». В кассационной жалобе Макарова А.В. просит о пересмотре судебных актов, ссылаясь на наличие у заимодавца возможности самостоятельной проверки финансового состояния заемщика.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возможной проверке сведений заимодавцем не исключает субъективной обязанности должника сообщить необходимые для получения займа сведения и не освобождает от примененных судами последствий такого несообщения.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Макаровой Антонине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