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05.02.2021, оставленным без изменения постановлением Десятого арбитражного апелляционного суда от 15.04.2021 и постановлением Арбитражного суда Московского округа от 03.08.2021, исковые требования удовлетворены. В кассационной жалобе акционерное общество «Группа компаний ПТИ» просит об отмене судебных актов, ссылаясь на неосновательное непринятие встречного иска о мнимости заявки 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и исполнение ответчиком и третьим лицом договора, составляющие предмет деятельности истца по агентскому договору от 31.10.2018 № 2/102018, поэтому взыскали с ответчика подлежащее уплате агентское вознаграждение в соответствии со статьями 395 , 971 , 1005 , 1006 , 1008 Гражданского кодекса Российской Федерации. Требования, составляющие предмет встречного иска, являются возражениями в отношении требования истца, и рассмотрены судами.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ПТИ»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