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обратилась в суд с заявлением о привлечении к субсидиарной ответственности по обязательствам должника ФИО2 и ФИО4. Определением Арбитражного суда от 02.12.2020 требование конкурсного управляющего к ФИО4 выделено в отдельное производство. Определением Арбитражного суда города Москвы от 24.03.2021, оставленным без изменения постановлениями Девятого арбитражного апелляционного суда от 17.06.2021 и Арбитражного суда Московского округа от 02.09.2021, заявление в части требований к ФИО2 удовлетворено. В кассационной жалобе, поданной в Верховный Суд Российской Федерации, заявитель просит полностью отменить названные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4 статьями 10 Федерального закона от 26.10.2002 № 127-ФЗ «О несостоятельности (банкротстве)», исходили из доказанности наличия оснований для привлечения заявителя к субсидиарной ответственности по обязательствам должника.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