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признании недействительными сделками: договора участия в долевом строительстве жилого дома от 18.05.2015 № 207/24, заключенного между должником и обществом с ограниченной ответственностью «Волгоспецтехника»; договора цессии от 21.09.2015 № 180-15, заключенного между обществом «Волгоспецтехника» и закрытым акционерным обществом «САКСЭС»; договора участия в долевом строительстве жилого дома от 26.06.2015 № 211/25, заключенного между должником и Арутюновой Светланой Владимировной; договора участия в долевом строительстве жилого дома от 02.03.2016 № 202/24, заключенного между должником и обществом с ограниченной ответственностью «СтройРесурс»; договора уступки права требования от 16.03.2016 № 202/24, заключенного между обществом «СтройРесурс» и Ловчиновским Андреем Геннадьевичем; договора уступки права требования от 21.06.2016 № 202/24, заключенного между Ловчиновским Андреем Геннадьевичем и Мониной Натальей Игоревной; договора участия в долевом строительстве жилого дома от 19.08.2015 № 208/25, заключенный между должником и обществом с ограниченной ответственностью 2 «ВолгаСпецГазстрой»; договора уступки права требования (цессии) от 25.12.2015, заключенного между обществом «ВолгаСпецГазстрой» и Лепиной Ольгой Кузьминичной; договора участия в долевом строительстве жилого дома от 19.08.2015 № 199, 7/2, 24, заключенного между должником и обществом«ВолгаСпецГазстрой»; договора уступки права требования (цессии) от 25.12.2015, заключенного между обществом «ВолгаСпецГазстрой» и Керданом Денисом Юрьевичем; применении последствий недействительности сделок в виде возврата сторон в первоначальное состояние. Определением Арбитражного суда Волгоградской области от 08.04.2021, оставленным без изменения постановлениями Двенадцатого арбитражного апелляционного суда от 16.06.2021 и Арбитражного суда Поволжского округа от 06.09.2021,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382, 423 Гражданского кодекса Российской Федерации, статьями 201.4, 201.6, 201.10 Федерального закона от 26.10.2002 № 127-ФЗ «О несостоятельности (банкротстве)», в отсутствие доказательств злоупотребления правом и недобросовестности приобретателей жилых помещений, чьи оплаченные требования включены в реестр о передаче жилых помещений, не установили оснований для признания оспариваемых сделок недействительными.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«Волгоградская проектно строительная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