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03.03.2021, оставленным без изменения постановлением Девятого арбитражного апелляционного суда от 17.05.2021 и постановлением Арбитражного суда Московского округа от 04.08.2021, в удовлетворении заявления отказано. В кассационной жалобе банк просит об отмене судебных актов, ссылаясь на искусственное придание квартире исполнительского иммунитета и заведомое намерение непогашения долга и списание его через банкротство.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спорного имущества под исполнительский иммунитет,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Довод о недобросовестности должника оценен в соответствии с правомочиями суда и мотивированно признан неподтвержденным.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