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Осауленко Евгений Николаевич обратился в суд с заявлением о признании недействительным решения должника от 02.09.2016 № 1508-2016 в части передачи в уставный капитал общества автомобиля Land Range Rover Vogu 2008 года выпуска, VIN SALLMAM548A286277, снегохода SKI-DOO SKANDIC SWT 2014 года выпуска, заводской номер YH2SLDFA3FR001685, снегохода YAMAHA VK10D 2012 года выпуска, заводской номер JYE8JE000DA003777, применении последствий её недействительности. Определением Арбитражного суда Республики Коми от 16.02.2021, оставленным без изменения постановлениями Второго арбитражного апелляционного суда от 08.06.2021 и Арбитражного суда Волго-Вятского округа от 07.09.2021,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статьями 2, 19, пунктом 2 статьи 61.2 Федерального закона от 26.10.2002 № 127-ФЗ «О несостоятельности (банкротстве)», установив, что оспариваемая сделка неплатёжеспособного должника совершена со злоупотреблением правом и причинила вред имущественным прав кредиторов в связи с передачей заинтересованному обществу имущества во избежание обращения на него взыскания, удовлетворили заявление конкурсного управляющего.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«Карьероуправление – Север»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