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недействительной сделкой соглашения от 30.04.2018 о расторжении договора финансовой аренды (лизинга), заключенного между должником и обществом с ограниченной ответственностью «РесурсЛизинг» (далее – лизингодатель). Определением Арбитражного суда Московской области от 29.12.2020, оставленным без изменения постановлениями Десятого арбитражного апелляционного суда от 22.04.2021 и Арбитражного суда Московского округа от 16.08.2021,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61.8, 61.9 Федерального закона от 26.10.2002 № 127-ФЗ «О несостоятельности (банкротстве)», абзацем четвёртым пункта 13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установив, что реестровая задолженность по оплате лизинговых и выкупного платежей перед лизингодателем не погашена, последний не предъявил своих реестровых требований к должнику, а сам предмет лизинга ему не возвращён, отказали в признании недействительной оспариваемой сделки ввиду отсутствия у неё такого квалифицирующего признака как получение стороной предпочтения.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«Территория учёта»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