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12.02.2021, оставленным без изменения постановлением Второго арбитражного апелляционного суда от 21.04.2021, завершена процедура реализации имущества должника, отказано в применении к нему правил об освобождении от исполнения обязательств перед кредиторами. Арбитражный суд Волго-Вятского округа постановлением от 12.08.2021 определение от 12.02.2021 и постановление апелляционного суда от 21.04.2021 оставил без изменения. В кассационной жалобе ФИО2 просит об отмене судебных актов, ссылаясь на неправильное применение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Отказывая в применении к должнику правил об освобождении от исполнения обязательств, суды исходил того, что действия ФИО2 при приятии обязательств перед кредиторами (банками) носили заведомо недобросовестный характер, что исключает возможность применения пункта 3 статьи 213.28 Федерального закона от 26.10.2002 № 127-ФЗ «О несостоятельности (банкротстве)». Применение указанных в статье 10 Гражданского кодекса Российской Федерации последствий относится к правомочиям суда и не подлежит пересмотру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