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6 декабря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общество с ограниченной ответственностью «УК «ПАРТНЕР ЛТД» обратилось в суд с заявлением о разрешении разногласий с конкурсным управляющим должником по вопросу порядка и очерёдности уплаты налога на добавленную стоимость с продажи на торгах имущества должника. Определением Арбитражного суда города Москвы от 19.02.2021 суд разрешил разногласия, определив, что уплата налога на добавленную стоимость от реализации имущества должника на публичных торгах производится за счёт имущества (денежных средств), оставшегося после удовлетворения требований кредиторов, включённых в реестр требований кредиторов должника. Постановлением Девятого арбитражного апелляционного суда от 26.04.2021, оставленным без изменения постановлением Арбитражного суда Московского округа от 27.09.2021, отменено определение суда первой инстанции от 19.02.2021, порядок уплаты суммы налога на добавленную стоимость за 3 квартал 2020 года, подлежащей к восстановлению на основании подпункта 2 пункта 3 статьи 170 Налогового кодекса Российской Федерации, определён в режиме пятой очереди текущих платежей. 2 В кассационных жалобах, поданных в Верховный Суд Российской Федерации, заявители просят отменить указанные постановления судов апелляционной инстанции и округа, оставить в силе определение суда первой инстанции.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кассационных жалоб таких оснований не установлено. Разрешая разногласия, апелляционный суд, руководствуясь положениями статей 146 и 170 Налогового кодекса Российской Федерации, статьи 134 Федерального закона от 26.10.2002 № 127-ФЗ «О несостоятельности (банкротстве)», установив момент возникновения обязанности по уплате налога, пришёл к выводу об обоснованности доводов уполномоченного органа о необходимости отнесения суммы налога к текущим платежам. Суд округа поддержал выводы апелляционного суда. Выводы судов апелляционной инстанции и округа соответствуют нормам права, оснований для переоценки этих выводов не имеется. Нарушений норм материального права, а также норм процессуального права, влекущих за собой безусловную отмену указанных судебных актов, судами апелляционной инстанции и округа не допущено. Основания для передачи кассационных жалоб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конкурсному управляющему обществом с ограниченной ответственностью «Северная строительно-инвестиционная компания» Орфаниди Павлу Георгиевичу и государственной корпорации развития «ВЭБ.РФ» в передаче кассационных жалоб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