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Копылов Д.А. обратился в суд с заявлением о включении в реестр требований кредиторов должника (далее – реестр) его требования в размере 7 023 769 рублей 14 копеек. Определением Арбитражного суда Новосибирской области от 07.06.2019, оставленным без изменения постановлением Седьмого арбитражного апелляционного суда от 11.09.2019, заявление удовлетворено. Постановлением Арбитражного суда Западно-Сибирского округа от 05.03.2020 данные судебные акты отменены, обособленный спор направлен на новое рассмотрение в Арбитражный суд Новосибирской области. При новом рассмотрении определением Арбитражного суда Новосибирской области от 10.02.2021 требования Копылова Д.А. в размере 3 464 554 рубля основного долга и 2 145 171 рубль 06 копеек процентов за пользование денежными средствами включены в третью очередь реестра как обеспеченные залогом имущества должника. Постановлением Седьмого арбитражного апелляционного суда от 26.04.2021, оставленным без изменения постановлением Арбитражного суда Западно-Сибирского округа от 06.08.2021, определение суда первой инстанции от 10.02.2021 в части включения в реестр обеспеченного залогом требования в размере 3 464 554 рубля основного долга и 2 145 171 рубль 06 копеек процентов за пользование денежными средствами отменено. В отменённой части принят новый судебный акт о признании требования в размере 3 464 554 2 рубля основного долга обоснованным,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полностью, определение суда первой инстанции в части размера основного долга и процентов за пользование денежными средствами, принять по делу новый судебный акт об удовлетворении его требований в полном объёме как обеспеченных залогом имущества должника. 16.11.2021 и 23.11.2021 от общества с ограниченной ответственностью «Нанс Финанс» и конкурсного управляющего должником Тюрина Антона Евгеньевича поступили отзывы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отзывов таких оснований не установлено. Разрешая спор в обжалуемой части, суды, руководствуясь статьями 10, 58, 384 Гражданского кодекса Российской Федерации, пунктом 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не установили оснований для включения в реестр задолженности перед заявителем как одним из акционеров должника, предоставившим компенсационное финансирование в условиях имущественного кризиса, процентов за пользование денежными средствами, признания заявленных требований обеспеченными залогом имущества должника.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Копылову Даниилу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