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15.03.2021, оставленным без изменения постановлением Девятого арбитражного апелляционного суда от 07.07.2021, взыскано 612 443 рубля 43 копейки неустойки, в удовлетворении иска в остальной части отказано. Арбитражный суд Московского округа постановлением от 28.09.2021 решение от 15.03.2021 и постановление Девятого арбитражного апелляционного суда от 07.07.2021 оставил без изменения. В кассационной жалобе общество «Сервисреммаш» просит об отмене судебных актов, ссылаясь на неисследование судами условий для взыскания убытков, их мнимый характер, влекущие невозможность зачета их к заявленному долгу.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все необходимые условия для зачета имеющегося у ответчика к истцу требования об убытках к задолженности из рассматриваемого договора установлены в деле № А40-178842/2020 и утверждение обратного противоречит статьям 69 , 16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«Сервисреммаш»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