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15.02.2021, оставленным без изменения постановлением Девятого арбитражного апелляционного суда от 13.04.2021, в удовлетворении заявленных требований отказано. Постановлением Арбитражного суда Московского округа от 09.08.2021 указанные судебные акты оставлены без изменения. Общество просит обжалуемые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выявлено, что общество, являясь эксплуатирующей организацией опасного производственного объекта, не представило в установленный срок сведения об организации производственного контроля за соблюдением требований промышленной безопасности.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установлена частью 1 статьи 9.1 Кодекса Российской Федерации об административных правонарушениях. 3 Оценив представленные доказательства, руководствуясь положениями статьи 11 Федерального закона от 21.07.1997 № 116-ФЗ «О промышленной безопасности опасных производственных объектов», пунктов 14, 14.1 Правил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 263, суды пришли к выводу о наличии в действиях общества состава административного правонарушения, ответственность за которое предусмотрена частью 1 статьи 9.1 Кодекса Российской Федерации об административных правонарушениях, установив нарушение требований промышленной безопасности. Суды признали наличие вины общества, указав на то, что им не были приняты все зависящие меры по соблюдению норм промышленной безопасности,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Процедура и срок давности привлечения к ответственности соблюдены, штраф назначен в пределах санкции нормы,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 учетом установленных обстоятельств, свидетельствующих о том, что в административный орган не поступало соответствующего заявления об изменении сведений в отношении опасного производственного объекта, на момент проведения проверки спорный объект являлся опасным производственным объектом, зарегистрированным в государственном реестре опасных производственных объектов. 4 Доводы об отклонении апелляционным судом дополнения к апелляционной жалобе не могут служить основанием для отмены судебных актов в отсутствие доказательств того, что участвующий в судебном заседании апелляционного суда представитель общества не мог приводить доводы по всем возникающим вопросам. При этом из жалобы не следует, как указанное обстоятельство привело или могло привести к принятию неправильного судебного акта. Также в жалобе не указано, какие конкретно документы, возражения и объяснения общество было лишено возможности представить по существу рассматриваемого дела, и как это могло повлиять на принятие судебных актов.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