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16.12.2020, оставленным без изменения постановлениями Тринадцатого арбитражного апелляционного суда от 06.05.2021 и Арбитражного суда Северо-Западного округа от 02.09.2021,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и обществом (подрядчик) заключен государственный контракт на выполнение работ по завершению строительства многофункционального спортивного комплекса для лиц с ограниченными возможностями. Заказчик, ссылаясь на неправомерность требований общества о внесении изменений в условия контракта и увеличения его стоимости за счет выполнения дополнительных работ, принял решение об одностороннем отказе от контракта. Полагая, что односторонний отказ учреждения от контракта является незаконным, общество обратилось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суды, руководствуясь положениями статей 702, 703, 709, 763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об отсутствии оснований для удовлетворения иска. Судебные инстанции исходили из правомерности отказа заказчика от контракта. При исследовании обстоятельств дела установлено, что условия, на которых подрядчик предложил выполнить работы, предполагают неопределенность стоимости работ и увеличение сроков их выполнения, что не соответствует условиям контракта и законодательству о контрактной системе. Обстоятельства данного спора и представленные доказательства были предметом рассмотрения и оценки судов. 3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 Существенного нарушения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«Строй-Мастер»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