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11.02.2021, оставленным без изменения постановлениями Пятнадцатого арбитражного апелляционного суда от 13.04.2021 и Арбитражного суда Северо-Кавказского округа от 11.08.2021, иск предпринимателя удовлетворен частично, с учреждения в пользу предпринимателя взыскано 461 760 рублей долга. В удовлетворении остальной части первоначального иска и во встречном иске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 в части отказа в удовлетворении первоначального иска,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предпринимателем (исполнитель) и учреждением (заказчик) заключены государственные контракты на оказание услуг по выращиванию кукурузы и по выращиванию сои. Неоплата оказанных услуг явилась основанием для обращения предпринимателя в арбитражный суд. Встречное исковое требование о применении к исполнителю меры ответственности в виде штрафа мотивированно ненадлежащим исполнением предпринимателем обязательств по контракту. Оценив представленные в материалы дела доказательства, суды, руководствуясь положениями статей 307, 328, 330, 401, 405, 406, 702, 711, 779, 781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частичного удовлетворения первоначального иска и об отсутствии оснований для возложения на предпринимателя гражданско-правовой ответственности в виде выплаты штрафа. Частично удовлетворяя заявленное предпринимателем требование о взыскании задолженности, судебные инстанции исходили из фактически оказанных исполнителем услуг (выполненных работ), определили размер долга с учетом недостижения предпринимателем согласованного объема урожая и расходов учреждения на приобретение посевного материала и средств защиты растений. При этом суды критически оценили представленные предпринимателем акты оказанных услуг, указав на то, что в них не отражен объем фактически выполненных работ и результат контрактов в виде объема фактически собранного урожая. Кроме того, суды, установив ненадлежащее исполнение заказчиком обязательств по передаче предпринимателю материалов для выращивания кукурузы, пришли к выводу об отсутствии вины исполнителя в просрочке оказания услуг по спорным контрактам, в связи с чем отказали в удовлетворении встречного иска. 3 Обстоятельства данного спора и представленные доказательства были предметом рассмотрения и оценки судов. Доводы кассационной жалобы не подтверждают существенных нарушений норм материального права и норм процессуального права, повлиявших на исход дела, по существу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Блахову Султану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