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16.12.2020, оставленным без изменения постановлением Девятого арбитражного апелляционного суда от 14.04.2021 и постановлением Арбитражного суда Московского округа от 03.08.2021, в удовлетворении иска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являясь исполнителем по договору, общество ненадлежащим образом исполняло свои договорные обязательства, что послужило основанием для обращения компании (заказчик) с требованием в банк о платеже по банковской гарантии, предоставленной исполнителем в целях обеспечения обязательств по договору; требование компании соответствовало предусмотренным условиям и было выполнено банком, руководствуясь статьями 15 , 393 , 368 , 369 , 370 , 374 , 375.1 , 386 Гражданского кодекса Российской Федерации, суды первой и апелляционной инстанций отказали в удовлетворении иска, с чем впоследствии согласился суд округа.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«Планета Чистоты»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