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Судебную коллегию Верховного Суда Российской Федерации с кассационной жалобой на вышеуказанные судебные акты, одновременно заявив ходатайство о зачете государственной пошлины. Согласно статьям 102 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в Верховный Суд Российской Федерации не представлены. В соответствии с пунктом 1 части 1 статьи 291.5 Арбитражного процессуального кодекса Российской Федерации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На основании изложенного, руководствуясь статьями 104 , 184 , 185 , 291.3 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закрытого акционерного общества «СПОРТЗНАК» о зачете государственной пошлины отказать. Кассационную жалобу на решение Арбитражного суда Санкт-Петербурга и Ленинградской области от 16.02.2021, постановление Тринадцатого арбитражного апелляционного суда от 20.05.2021 и постановление Арбитражного суда Северо-Западного округа от 28.09.2021 по делу № А56-93808/2020 возвратить заявителю.Судья Верховного СудаРоссийской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