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03.02.2021, оставленным без изменения постановлением Шестого арбитражного апелляционного суда от 07.05.2021 и постановлением Арбитражного суда Дальневосточного округа от 12.08.2021, в удовлетворении заявленных требований отказано. Общество обратилось в Верховный Суд Российской Федерации с кассационной жалобой, в которой просит отменить принятые по делу судебные акты, считая их принятыми с нарушением норм материального права. По смыслу части 1 статьи 291.1 , части 7 статьи 291.6 ,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статей 54.1 , 247 , 252 Налогового кодекса Российской Федерации, с учетом разъяснений Пленума Высшего Арбитражного Суда Российской Федерации, изложенных в постановлении от 12.10.2006 № 53 «Об оценке арбитражными судами обоснованности получения налогоплательщиком налоговой выгоды», суды признали законным решение налогового органа о доначислении налога на прибыль (пени, штрафа), отказали в удовлетворении заявленного требования, признав, что обществом необоснованно включены затраты на приобретение и использование строительных материалов на сумму 41 718 595 рублей 30 копеек в состав расходов, уменьшающих налогооблагаемую базу по налогу на прибыль, заявитель документально не подтвердил их использование непосредственно в экономической деятельности общества. Приведенные в жалобе доводы относительно использования строительных материалов при строительстве и ремонте временных объектов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Доводы жалобы были подробно исследованы судами и мотивированно отклонены, не подтверждают существенных нарушений норм материального и (или) процессуального права,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