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02.02.2021, оставленным без изменения постановлением Тринадцатого арбитражного апелляционного суда от 19.05.2021, заявленные требования удовлетворены. Постановлением Арбитражного суда Северо-Западного округа от 29.09.2021 указанные судебные акты отменены, в удовлетворении заявленного требования отказано. Учреждение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при проведении осмотра административным органом выявлены нарушения, выразившиеся в неисполнении учреждением как заказчиком работ обязанности по получению ордера на производство работ по ремонту покрытия. Пунктом 1 статьи 14 Закона № 273-70 установлена ответственность за выполнение производителем работ земляных, ремонтных и отдельных работ, связанных с благоустройством территории Санкт-Петербурга, без ордера на производство работ, выданного уполномоченным Правительством Санкт-Петербурга исполнительным органом государственной власти Санкт- Петербурга, а также неисполнение заказчиком работ обязанности по получению ордера. Отменяя решение суда первой инстанции и постановление суда апелляционной инстанции, суд округа руководствовался положениями Федерального закона от 25.06.2002 № 73-ФЗ «Об объектах культурного наследия (памятниках истории и культуры) народов Российской Федерации», Закона Санкт-Петербурга от 25.12.2015 № 891-180 «О благоустройстве в Санкт- Петербурге», Правил благоустройства территории Санкт-Петербурга в части, касающейся правил производства земляных, ремонтных и отдельных работ, связанных с благоустройством территории Санкт-Петербурга, утвержденных постановлением Правительства Санкт-Петербурга от 06.10.2016 № 875, и исходил из наличия в действиях учреждения состава вмененного правонарушения, с учетом установленных судами обстоятельств выполнения работ по ремонту пешеходной дорожки в отсутствие ордера, при этом признав, что положения Федерального закона № 73-ФЗ сами по себе не исключают необходимость соблюдения требований региональных правил в сфере благоустройства. Указанные выводы суда округа в жалобе не опровергнуты.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Приведенные в жалобе доводы не свидетельствуют о существенных нарушениях судами норм материального и процессуального права и по существу сводятся к иному толкованию правовых норм, подлежащих применению в деле.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