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24.02.2021, оставленным без изменения постановлением Девятого арбитражного апелляционного суда от 12.04.2021, в удовлетворении заявленного требования отказано. Постановлением Арбитражного суда Московского округа от 12.08.2021 указанные судебные акты оставлены без изменения. Общество обратилось в Верховный Суд Российской Федерации с кассационной жалобой, в которой просит состоявшиеся по делу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послужили выявленный административным органом факт пользования обществом недрами с нарушением условий, предусмотренных лицензией на пользование недрами. Частью 2 статьи 7.3 Кодекса Российской Федерации об административных правонарушениях предусмотрена административная ответственность за пользование недрами с нарушением условий, предусмотренных лицензией на пользование недрами, и (или) требований утвержденного в установленном порядке технического проекта. Оценив представленные доказательства, руководствуясь положениями статей 11 , 22 , 24 Закона Российской Федерации от 21.02.1992 № 2395-1 «О недрах», суды пришли к выводу о наличии в действиях общества состава административного правонарушения, ответственность за совершение которого предусмотрена частью 2 статьи 7.3 Кодекса Российской Федерации об административных правонарушениях, установив, что общество как недропользователь нарушило установленные лицензией требования, возлагающие обязанность ежегодно разрабатывать и согласовывать в установленном порядке план развития горных работ в органах государственного горного надзора. Вина общества выразилась в том, что у него имелась возможность для соблюдения требований законодательства о недрах, но им не были предприняты все зависящие меры по их соблюдению. Доказательств объективной невозможности исполнения обществом действующего законодательства не выявлено. Судами проверены процедура и срок давности привлечения к административной ответственности, наказание в виде штрафа назначено в пределах санкции нормы. Вопреки доводам жалобы, в рассматриваемом случае несмотря на то, что виновность юридического лица в совершении административного правонарушения является так или иначе следствием виновности его должностных лиц, данное обстоятельство не означает, что вина юридического лица в совершении административного правонарушения тождественна вине соответствующего физического лица, и не предполагает в любом случае установления вины юридического лица через наличие в совершении этого же деяния вины физического лица. Доводы жалобы были предметом исследования судов и получили исчерпывающую правовую оценку, не согласиться с которой, исходя из доводов жалобы,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