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25.02.2021, оставленным без изменения постановлениями Семнадцатого арбитражного апелляционного суда от 20.05.2021 и Арбитражного суда Уральского округа от 12.08.2021, в удовлетворении иска общества отказано, встречный иск учреждения удовлетворен. В кассационной жалобе, поданной в Верховный Суд Российской Федерации, и дополнениях к ней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дополнений к ней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обществом (подрядчик) и учреждением (заказчик) заключен контракт на выполнение работ по разработке проектной документации на капитальный ремонт нежилых помещений цокольного, первого и второго этажей административного здания. В связи с неустранением подрядчиком недостатков проектных работ в установленный заказчиком срок, учитывая отсутствие намерения подрядчика устранять выявленные заказчиком недостатки проектной документации, заказчик принял решение об одностороннем отказе от исполнения контракта. Указанные обстоятельства послужили основанием для обращения общества в арбитражный суд. Встречные исковые требования о применении к подрядчику ответственности за ненадлежащее выполнение обязательств мотивированны нарушением срока выполнения работ. Исследовав и оценив представленные в материалы дела доказательства, принимая во внимание выводы, сделанные экспертом по результатам проведенной судебной экспертизы, руководствуясь положениями статей 309 , 310 , 207 , 208 , 450.1 , 711 , 715 , 717 , 720 , 758 , 760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 первой инстанции признал односторонний отказ учреждения от исполнения контракта правомерным, в связи с чем в удовлетворении первоначального иска отказал. Удовлетворяя требования учреждения, суд первой инстанции исходил из доказанности нарушения подрядчиком условий контракта и обоснованности применения заявленных заказчиком мер ответственности. При исследовании обстоятельств дела установлено несоответствие изготовленной обществом проектной документации требованиям к качеству; наличие недостатков, препятствующих использованию выполненных подрядчиком работ. Возражения общества, изложенные в дополнениях к кассационной жалобе, о несогласии с определением суда первой инстанции об удовлетворении заявления учреждения о взыскании судебных расходов не могут быть приняты во внимание, поскольку определение Арбитражного суда Свердловской области от 28.09.2021 не является предметом обжалования по настоящей жалобе.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сводятся к несогласию с установленными судами фактическими обстоятельствами дела и направлены на их переоценку, не подтверждают существенные нарушения норм материального и (или) процессуального права, которые могли повлиять на исход дела. Несогласие заявителя с выводами суда,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«Промкомплекс «Волна»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