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Суханов Евгений Анатольевич обратился в суд с заявлением о привлечении к субсидиарной ответственности по обязательствам должника Берковича Исаака Семеновича, Бобылевой (Беркович) Е.И. по основаниям, предусмотренным абзацем четвёртым пункта 4 статьи 10 Федерального закона от 26.10.2020 № 127-ФЗ «О несостоятельности (банкротстве)» (далее – Закон о банкротстве). Определением Арбитражного суда Кемеровской области от 24.07.2020 заявление удовлетворено. Постановлением Седьмого арбитражного апелляционного суда от 14.12.2020 названное определение суда первой инстанции отменено по безусловным основаниям; заявление рассмотрено по правилам, установленным для рассмотрения дела в суде первой инстанции и удовлетворено. Постановлением Арбитражного суда Западно-Сибирского округа от 22.06.2020 постановление апелляционного суда от 14.12.2020 отменено в части привлечения Бобылевой (Беркович) Е.И. к субсидиарной ответственности по обязательствам должника, в отменённой части обособленный спор направлен на новое рассмотрение в апелляционный суд. В остальной части судебный акт оставлен без изменения. 2 При новом рассмотрении постановлением Седьмого арбитражного апелляционного суда от 18.05.2021, оставленным без изменения постановлением Арбитражного суда Западно-Сибирского округа от 27.08.2021, признано доказанным наличие оснований для привлечения Бобылевой (Беркович) Е.И. к субсидиарной ответственности по обязательствам должника. В кассационной жалобе, поданной в Верховный Суд Российской Федерации, заявитель просит принятые на новом рассмотрении постановления судов апелляционной инстанции и округа отменить, принять по делу новый судебный акт об отказе в удовлетворении заявления о привлечении её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абзацем четвёртым пункта 4 статьи 10 Закона о банкротстве в редакции Федерального закона от 28.06.2013 № 134-ФЗ «О внесении изменений в отдельные законодательные акты Российской Федерации в части противодействия незаконным финансовым операциям», исходили из доказанности совокупности условий, необходимых для привлечения к субсидиарной ответственности заявителя, контролировавшей наряду со своим отцом деятельность должника, являвшейся выгодоприобретателем вывода активов и не передавшей первичную и иную бухгалтерскую документацию, что воспрепятствовало формированию конкурсной массы. Рассмотрев возражения о пропуске срока исковой давности, суды мотивированно их отклонили.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о пропуске конкурсным управляющим срока исковой давности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Бобылёвой (Беркович) Екатерине Исааковне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