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ОФК-Возрождение» (далее – общество «ОФК- Возрождение») обратилось в суд с заявлением о включении в реестр требований кредиторов должника (далее – реестр) задолженности в размере 223 695 рублей. Определением Арбитражного суда Свердловской области от 24.03.2021, оставленным без изменения постановлениями Семнадцатого арбитражного апелляционного суда от 03.06.2021 и Арбитражного суда Уральского округа от 24.08.2021, заявление удовлетворено частично, в третью очередь реестра включены требования общества «ОФК-Возрождение» в размере 219 055 рублей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 частичной обоснованности и подтверждённости требований общества «ОФК-Возрождение» к должнику и, как следствие, наличия оснований для включения требований общества в реестр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Доводы заявителя о заинтересованности должника и общества «ОФК- Возрождение» были предметом рассмотрения судов апелляционной инстанции и округа,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Регу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