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Гурьянова Н.В. обратилась в суд с заявлением о включении в реестр требований кредиторов должника (далее – реестр) её требований в размере 22 495 718 рублей 33 копейки как обеспеченных залогом имущества должника. Определением Арбитражного суда Республики Карелия от 26.01.2021, оставленным без изменения постановлениями Тринадцатого арбитражного апелляционного суда от 03.06.2021 и Арбитражного суда Северо-Западного округа от 23.08.2021,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Республики Карелия.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10 Гражданского кодекса Российской Федерации, статей 71 и 100 Федерального закона от 26.10.2002 № 127-ФЗ «О несостоятельности (банкротстве)», указав на отсутствие надлежащих доказательств соответствия отношений, положенных в основу требований Гурьяновой Н.В., обычной хозяйственной деятельности, а также наличия у Гурьяновой Н.В. финансовой возможности для предоставления займа должнику в заявленном размере, пришли к выводу об отсутствии оснований для удовлетворения заявления ввиду недоказанности реальности спорных отношений, а также признали противоправность цели данных отношений – причинение вреда имущественным правам должника и его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Гурьяновой Наталье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