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«Строительно-финансовая компания» (далее – обществу) обратился в суд с заявлением о включении в реестр требований кредиторов должника (далее – реестр) требования в размере 578 896 317 рублей 77 копеек как обеспеченного залогом имущества должника. Определением Арбитражного суда Владимирской области от 09.09.2020, оставленным без изменения постановлениями Первого арбитражного апелляционного суда от 12.04.2021 и Арбитражного суда Волго-Вятского округа от 09.08.2021,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Владимирской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329, 334, 382, 384, 819 Гражданского кодекса Российской Федерации, статьями 71, 100, 142 Федерального закона от 26.10.2002 № 127-ФЗ «О несостоятельности (банкротстве)», Обзором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Российской Федерации 29.01.2020, исходили из обстоятельств состоявшегося после возбуждения настоящего дела о банкротстве (когда неблагополучное финансовое положение должника уже невозможно было скрыть в силу объективных причин) и оплаченного перехода к обществу права требования, вытекающего из документально подтверждённых кредитных и залоговых отношений, в связи с чем не установили оснований для понижения очерёдности удовлетворения и включили его в реестр как обеспеченное залогом имущества должника.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«ТК Сибирь-Ойл»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