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30.12.2020, оставленным без изменения постановлениями Десятого арбитражного апелляционного суда от 13.04.2021 и Арбитражного суда Московского округа от 23.08.2021, в удовлетворении иска отказано. В кассационной жалобе, поданной в Верховный Суд Российской Федерации, общество ставит вопрос об отмене принятых по делу судебных актов, ссылаясь на существенное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обоснование иска общество ссылается на неоплату со стороны министерства оказанных им услуг по технической эксплуатации коллекторов за период с 01.02.2016 по 30.11.2019. Оценив представленные в материалы дела доказательства, суды, руководствуясь положениями статей 309 , 310 , 1102 , 1109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правовой позицией, изложенной в пункте 20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Президиумом Верховного Суда Российской Федерации 28.06.2017, пункте 8 Информационного письма Высшего Арбитражного Суда Российской Федерации от 11.01.2000 № 49 «Обзор практики рассмотрения споров, связанных с применением норм о неосновательном обогащении», пришли к выводу об отсутствии оснований для удовлетворения иска. При этом судебные инстанции исходили из отсутствия совокупности обстоятельств, необходимых для взыскания стоимости оказанных истцом услуг в отсутствие государственного контракта, заключение которого является обязательным. Суды учли, что истец не мог не знать, что услуги оказываются им при отсутствии обязательства перед ответчиком, со стороны истца не были представлены доказательства, указывающие на то, что ответчик без установленных законом или договором оснований приобрел или сберег денежные средства. С учетом изложенного, приведенные в жалобе доводы не свидетельствуют о существенных нарушениях судами норм материального и процессуального права, повлиявших на исход дела, являлись предметом рассмотрения судов и получили надлежащую правовую оценку,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в связи с чем не могут служить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«Москоллектор»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Судьи дела: Антонова М.К.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