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сделками платежей в пользу общества с ограниченной ответственностью «КСД-Сервис» (далее – общество) на сумму 30 421 600 рублей, совершенных с августа по декабрь 2017 года, а также о применении последствий недействительности сделок. Определением Арбитражного суда города Москвы от 11.02.2021, оставленным без изменения постановлениями Девятого арбитражного апелляционного суда от 10.06.2021 и Арбитражного суда Московского округа от 23.08.2021,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19 и 61.2 Федерального закона от 26.10.2002 № 127-ФЗ «О несостоятельности (банкротстве)», исходили из недоказанности наличия причин для удовлетворения требований конкурного управляющего должником по заявленным основаниям, указав, в том числе на предоставление надлежащих доказательств реальности оказания услуг обществом должнику.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«Абсолют сервис» Авеличеву Станиславу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