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08.10.2020, оставленным без изменения постановлением Десятого арбитражного апелляционного суда от 12.04.2021, в удовлетворении требований отказано. Постановлением Арбитражного суда Московского округа от 29.07.2021 указанные судебные акты оставлены без изменения. Общество просит обжалуемые судебные акты отменить, ссылаясь на допущенные, по его мнению, существенные нарушения норм материального и процессуального права. Письмом судьи Верховного Суда Российской Федерации от 15.10.2021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свидетельствующий, что в проектной декларации общества содержится неполная и недостоверная информация по объекту строительства. Частью 2 статьи 14.28 Кодекса Российской Федерации об административных правонарушениях установлена ответственность за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Оценив представленные доказательства, руководствуясь положениями статей 18, 21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Приказа Минстроя России от 20.12.2016 № 996/пр «Об утверждении формы проектной декларации», суды пришли к выводу о наличии в действиях общества состава правонарушения, ответственность за которое предусмотрена частью 2 статьи 14.28 Кодекса Российской Федерации об административных правонарушениях. Доказательств, свидетельствующих о том, что общество своевременно приняло все зависящие от него меры по соблюдению требований действующего законодательства, судам не представлено. Суды признали процедуру и срок давности привлечения к административной соблюденными, указав на длительное неисполнение обществом возложенной на него обязанности по размещению в информационно-телекоммуникационных сетях общего пользования проектной декларации с внесенными в нее изменениями, содержащей полную и достоверную информацию. Назначенный штраф в размере 200 000 рублей признан судами соответствующим характеру совершенного обществом административного правонарушения, соразмерным его тяжести, справедливым и отвечающим принципам юридической ответственности. Доводы жалобы были предметом исследования судов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