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Охранная фирма «Кодекс» обратилось в Арбитражный суд Красноярского края с иском к федеральному государственному унитарному предприятию «Горно-химический комбинат» о признании суммы штрафа в размере 2 525 995 рублей 57 копеек неразумной и несоразмерной последствиям нарушения обязательства; уменьшении суммы штрафа до 3 273 рублей 45 копеек; взыскании неосновательного обогащения, полученного по банковской гарантии, в размере 2 522 722 рублей 12 копеек. Решением Арбитражного суда Красноярского края от 24.11.2020 в удовлетворении иска отказано. Постановлением Третьего арбитражного апелляционного суда от 19.04.2021 решение суда первой инстанции оставлено без изменения. Арбитражный суд Восточно-Сибирского округа постановлением от 12.08.2021 указанные судебные акты оставил без изменения. Общество с ограниченной ответственностью Охранная фирма «Кодекс»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нарушение истцом обязательств по договору охраны, выразившееся в беспрепятственном проникновении на объект 3 категории террористической опасности «условного террориста» с муляжом взрывного устройства, руководствуясь положениями статей 307 , 309 , 310 , 329 , 330 , 333 , 381.1 , 779 , 781 , 1102 Гражданского кодекса Российской Федерации, суды пришли к выводам о соразмерности выставленного штрафа последствиям нарушения обязательства, отсутствии оснований для снижения размера неустойки (штрафа) и взыскания неосновательного обогащения. Доводы жалобы о несоразмерности штрафа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Охранная фирма «Кодекс»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