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Челябинской области с иском о взыскании с общества с ограниченной ответственностью «Карабашские абразивы» 1 790 275 рублей штрафа за искажение наименования груза в железнодорожных накладных и 213 907 рублей 20 копеек недоплаченной провозной платы.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«Карабашский абразивный завод». Решением Арбитражного суда Челябинской области от 19.01.2021 иск удовлетворен. Постановлением Восемнадцатого арбитражного апелляционного суда от 14.04.2021 решение суда первой инстанции оставлено без изменения. Арбитражный суд Уральского округа постановлением от 17.08.2021 указанные судебные акты оставил без изменения. Общество с ограниченной ответственностью «Карабашские абразивы»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несоответствие сведений о наименовании перевозимого груза в железнодорожных накладных, что привело к занижению размера провозных платежей, руководствуясь положениями статей 23, 25, 27, 98 Федерального закона от 10.01.2003 № 18-ФЗ «Устав железнодорожного транспорта Российской Федерации», статьями 784 , 785 , 793 Гражданского кодекса Российской Федерации, суды пришли к выводу о наличии оснований для применения к ответчику меры ответственности в виде штрафа.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«Карабашские абразивы»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