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Ярославской области от 15.10.2020 завершена процедура реализации имущества гражданина ФИО1, должник освобожден от дальнейшего исполнения требований кредиторов, в том числе не заявленных при введении реализации имущества гражданина. Постановлением Второго арбитражного апелляционного суда от 19.04.2021 определение суда первой инстанции отменено в части освобождения должника от исполнения требований перед ФИО2 и в указанной части отказано в применении правила об освобождении от исполнения обязательств. Арбитражный суд Волго-Вятского округа постановлением от 25.08.2021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пунктом 4 статьи 213.28 Федерального закона от 26.10.2002 № 127-ФЗ «О несостоятельности (банкротстве)», суд апелляционной инстанции пришел к выводу о недоказанности наличия обстоятельств, позволяющих признать должника добросовестным и освободить его от исполнения обязательств перед ФИО2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