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общество с ограниченной ответственностью «Свит» обратилось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1 348 159 рублей и признании указанного требования общим обязательством ФИО2 и его супруги ФИО1 Определением Арбитражного суда города Санкт-Петербурга и Ленинградской области от 12.04.2021 заявление ООО «Свит» удовлетворено. Постановлением Тринадцатого арбитражного апелляционного суда от 20.07.2021 определение суда первой инстанции оставлено без изменения. Арбитражный суд Северо-Западного округа постановлением от 24.09.2021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 в части выводов об общих обязательствах супругов,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денежные средства были получены в период брака и использованы должником в интересах и на нужды семьи, суды пришли к выводу о том, что спорные обязательства, установленными судебными актами, принятыми по результатам оспаривания сделок по получению денежных средств должником, являются общими обязательствами должника и его супруги.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