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12.01.2021, оставленным без изменения постановлением Шестнадцатого арбитражного апелляционного суда от 14.04.2021 и постановлением Арбитражного суда Северо-Кавказского округа от 10.08.2021, с общества в пользу компании взыскано 6 556 242 руб. 86 коп. неосновательного обогащения, в остальной части производство по делу прекращено в связи с отказом компании от исковых требований.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Ставропольского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исковые требования, суды первой и апелляционной инстанций, руководствуясь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проверив расчет сальдо встречных обязательств по договорам лизинга, не усмотрев в действиях компании по реализации предметов лизинга недобросовестного поведения, пришли к выводу о наличии на стороне общества неосновательного обогащения. При этом суды отклонили доводы общества о несоразмерности включенной в расчет сальдо неустойки последствиям нарушения обязательств, исходя из отсутствия соответствующих доказательств.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