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«ТрейдСервис» обратилось в Арбитражный суд Ростовской области с иском о взыскании с общества с ограниченной ответственностью «Грифон» 540 771 рубля задолженности по оплате расходов на горюче-смазочные материалы и 2 142 рублей 39 копеек процентов за пользование чужими денежными средствами. К участию в деле в качестве третьего лица, не заявляющего самостоятельных требований относительно предмета спора, привлечено акционерное общество «Лизинговая компания «КамАЗ». Решением Арбитражного суда Ростовской области от 03.02.2021 в удовлетворении иска отказано. Постановлением Пятнадцатого арбитражного апелляционного суда от 27.04.2021 решение суда первой инстанции оставлено без изменения. Арбитражный суд Северо-Кавказского округа постановлением от 17.08.2021 указанные судебные акты оставил без изменения. Общество с ограниченной ответственностью «ТрейдСервис»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истцом не доказано наличие у ответчика обязанности по возмещению расходов на горюче-смазочные материалы, и поскольку истец располагает только копией соглашения, предусматривающего оплату горюче-смазочных материалов, а ответчик оспаривает его заключение, суды признали соглашение недостоверным и недопустимым доказательством, отказав в удовлетворении иска.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«ТрейдСервис»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