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Астраханской области от 18.11.2020, оставленным без изменения постановлением Двенадцатого арбитражного апелляционного суда от 11.02.2021, заявленные требования удовлетворены. Постановлением Поволжского округа от 07.06.2021 указанные судебные акты оставлены без изменения. Административный орган в кассационной жалобе просит отменить состоявшиеся по делу судебные акты, считая их незаконными и необоснованными. Письмом судьи Верховного Суда Российской Федерации от 04.10.2021 дело было истребовано из Арбитражного суда Астраханской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оснований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не установлено. Частью 1 статьи 14.43 Кодекса Российской Федерации об административных правонарушениях предусмотрена ответственность за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статьями 6.31, 9.4, 10.3, 10.6, 10.8, частью 2 статьи 11.21, статьями 14.37, 14.44, 14.46, 14.46.1, 20.4 указанного Кодекса. Оценив представленные доказательства, руководствуясь положениями Федерального закона от 26.03.2003 № 35-ФЗ «Об электроэнергетике», Основных положений функционирования розничных рынков электрической энергии, утвержденных Постановлением Правительства Российской Федерации от 04.05.2012 № 442, Правил недискриминационного доступа к услугам по передаче электрической энергии и оказания этих услуг, утвержденным постановлением Правительства Российской Федерации от 27.12.2004 № 861, суды пришли к выводу об отсутствии в действиях общества (гарантирующего поставщика) состава правонарушения, ответственность за которое предусмотрена частью 1 статьи 14.43 Кодекса Российской Федерации об административных правонарушениях, выражающегося в нарушении исполнителем, продавцом требований технических регламентов (гарантийных обязательств по качеству ресурса). При этом суды признали, что в рассматриваемом случае необходимые меры, направленные на поддержание качества электроэнергии не проводились в центрах питания электрической сети, трансформаторах и иных объектах электросетевого оборудования, не находящихся в сфере контроля общества применительно к осуществляемой им деятельности. При установленных судами обстоятельствах, связанных с выполнением обществом надлежащего контроля за качеством поставляемой электроэнергии, в отсутствие прямого договора на оказание услуг по передаче ресурса с потребителями, указанные выводы судов в жалобе не опровергнуты. При указанных обстоятельствах доводы жалобы сводятся к несогласию заявителя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