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26.11.2021 направило в Верховный Суд Российской Федерации кассационную жалобу, одновременно заявив ходатайства о восстановлении пропущенного процессуального срока ее подачи и об отсрочке уплаты государственной пошлины за подачу названной кассационной жалобы.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Заявитель не указывает причин несвоевременной подачи жалобы, поэтому суд не может считать срок ее подачи не соблюденным по объективным обстоятельствам.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Поскольку ходатайство о восстановлении пропущенного процессуального срока оставлено без удовлетворения, ходатайство об отсрочке уплаты госпошлины рассмотрению не подлежит.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«ЭСКОМ»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