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08.02.2021, оставленным без изменения постановлением Девятнадцатого арбитражного апелляционного суда от 15.04.2021, первоначальный иск удовлетворен, с хозяйства в пользу ФИО1 взыскано 931 500 руб. задолженности, 21 630 руб. расходов по уплате государственной пошлины; встречный иск удовлетворен частично, с ФИО1 в пользу хозяйства взыскано 1 442 103 руб. неосновательного обогащения, 26 403 руб. расходов по уплате государственной пошлине; произведен зачет взаимных требований. Постановлением Арбитражного суда Центрального округа от 10.08.2021 решение суда первой инстанции и постановление суда апелляционной инстанции в части взыскания с хозяйства в пользу Шевцова О.А. 931 500 руб. задолженности и 21 630 руб. расходов по уплате государственной пошлины оставлены без изменения; в остальной части судебные акты отменены, дело в отмененной части направлено на новое рассмотрение в Арбитражный суд Курской области. В кассационной жалобе, поданной в Верховный Суд Российской Федерации, хозяйство,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Суд округа, сделав вывод о том, что суды первой и апелляционной инстанций неполно установили и исследовали обстоятельства, имеющие существенное значение для правильного разрешения спора, не принимая судебного акта по существу спора, отменил решение и постановление в части и направил дело в отмененной части на новое рассмотрение в суд первой инстанции. При этом окружной суд указал суду на необходимость исследовать вопрос о принадлежности спорного земельного участка ФИО1, совершении им противоправных действий по отношению к хозяйству, выполнении последним работ на земельном участке для ФИО1 с использованием своего имущества, а также установить отношение представленных сторонами первичных документов к предмету встречных исковых требований. Доводы кассационной жалобы не подтверждают существенных нарушений судом норм материального и процессуального права, повлиявших на исход дела.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крестьянского (фермерского) хозяйства «Павлово»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