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«ВторГеоРесурс» обратилось в Арбитражный суд Алтайского края с иском о взыскании с индивидуального предпринимателя ФИО1 57 707 рублей 27 копеек, в том числе 52 903 рублей 92 копеек основного долга по договору на оказание услуг по обращению с твердыми коммунальными отходами от 24.12.2019 № 1296 УКЛ и 4 803 рублей 35 копеек неустойки за период с 13.01.2020 по 27.07.2020. Решением Арбитражного суда Алтайского края от 18.02.2021 иск удовлетворен. Постановлением Седьмого арбитражного апелляционного суда от 20.05.2021 решение суда первой инстанции оставлено без изменения. Арбитражный суд Западно-Сибирского округа постановлением от 24.08.2021 указанные судебные акты оставил без изменения. Индивидуальный предприниматель ФИО1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наличие у истца статуса регионального оператора, осуществляющего деятельность в сфере обращения с твердыми коммунальными отходами по регулируемым тарифам, факт оказания им в спорный период услуг в соответствии с условиями договора, несоблюдение ответчиком обязанности по оплате услуг, отсутствие достаточных и бесспорных доказательств факта оказания услуг иными лицами, признав обоснованным и арифметически верным размер начисленной истцом задолженности, руководствуясь положениями статей 309 , 310 , 329 , 330 , 426 , 779 , 781 Гражданского кодекса Российской Федерации, статьями 23, 24.6, 24.7, Федерального закона № 89-ФЗ от 24.06.1998 «Об отходах производства и потребления», постановлением Правительства Российской Федерации от 03.06.2016 № 505 «Об утверждении Правил коммерческого учета объема и (или) массы твердых коммунальных отходов», Правилами обращения с твердыми коммунальными отходами, утвержденными постановлением Правительства Российской Федерации от 12.11.2016 № 1156, решениями управления Алтайского края по государственному регулированию цен и тарифов от 29.03.2019 № 49, от 20.12.2019 № 566, Методическими рекомендациями по вопросам, связанным с определением нормативов накопления твердых коммунальных отходов, утвержденных приказом Министерства строительства и жилищно-коммунального хозяйства Российской Федерации 28.06.2016 № 524/пр, суды пришли к выводу о наличии оснований для удовлетворения иска.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