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12.01.2021, оставленным без изменения постановлением Восьмого арбитражного апелляционного суда от 13.04.2021 и постановлением Арбитражного суда Западно-Сибирского округа от 16.08.2021, исковые требования удовлетворены частично, с общества в пользу компании взыскано 78 380 руб. штрафа и 56 433 руб. неустойки; распределены судебные расходы.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компания (покупатель) обратилась в арбитражный суд с иском по настоящему делу, ссылаясь на нарушение обществом (поставщик) обязательств по договору поставки от 14.08.2018 № 031-08/18/11092-102 (далее – договор), что в силу пунктов 5.2 и 5.5 договора является основанием для начисления неустойки и штрафа.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условия договора и поведение сторон при его исполнении, установив, что общество осуществило поставку некомплектного товара и нарушило сроки поставки товара, руководствуясь статьями 309 , 310 , 329 , 330 , 422 , 456 , 469 , 476 , 506 , 521 Гражданского кодекса Российской Федерации (далее – ГК РФ),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пришли к выводу о наличии оснований для частичного удовлетворения исковых требований, снизив размер штрафа в порядке статьи 333 ГК РФ 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приведенные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«Инфатек»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