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«Пермтрансжелезобетон» (далее – общество) обратилось в Арбитражный суд Челябинской области с исковым заявлением, уточненным в порядке статьи 49 Арбитражного процессуального кодекса Российской Федерации, к акционерному обществу «Магнитогорский крановый завод» (далее – завод) о расторжении договоров изготовления-поставки от 02.02.2017 № 49634/74.01/1, № 49635/74.01/2; взыскании денежных средств, уплаченных по договору от 02.02.2017 № 49634/74.01/1, в размере 5 850 000 руб., по договору от 02.02.2017 № 49635/74.01/2 – в размере 5 850 000 руб.; обязании в течение 30 дней с момента вступления в силу решения суда по настоящему делу забрать краны № 74.01.01 и № 74.01.02; взыскании убытков, возникших из-за неисправности крана № 74.01.01 в 6 пролете за период с 22.08.2017 по 26.08.2017 в размере 1 091 931 руб.; взыскании убытков, связанных с проведением экспертиз, в размере 22 500 руб. и 145 000 руб.; возмещении разницы стоимости лизинговых платежей и стоимости оборудования в связи с исполнением договора финансовой аренды от 02.02.2017 № 49634-ФЛ/ПР-17 по крану № 74.01.01 в размере 1 447 132 руб. 99 коп.; возмещении разницы стоимости лизинговых платежей и стоимости оборудования в связи с исполнением договора финансовой аренды от 02.02.2017 № 49635-ФЛ/ПР-17 по крану № 74.01.02 в размере 1 417 793 руб. 79 коп.; взыскании неустойки в соответствии с пунктом 8.3. договора по крану № 74.01.03 в сумме 7 209 180 руб.; взыскании штрафа в соответствии с пунктом 8.4 договора в размере 1 170 000 руб. по каждому крану, что в сумме составляет 3 510 000 руб. Завод предъявил встречный иск о взыскании с общества расходов в сумме 398 655 руб. 73 коп. (с учетом уточнения исковых требований в порядке статьи 49 Арбитражного процессуального кодекса Российской Федерации).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Лизинговая компания «Сименс Финанс». Решением Арбитражного суда Челябинской области от 22.10.2020, оставленным без изменения постановлением Восемнадцатого арбитражного апелляционного суда от 20.01.2021 и постановлением Арбитражного суда Уральского округа от 26.07.2021, первоначальные исковые требования удовлетворены частично, договоры изготовления-поставки от 02.02.2017 № 49634/74.01/1, № 49635/74.01/2 расторгнуты; с завода в пользу общества взыскано 5 850 000 руб., уплаченных по договору от 02.02.2017 № 49634/74.01/1 и 5 850 000 руб., уплаченных по договору от 02.02.2017 № 49635/74.01/2; завод обязан в течение 30-ти дней с даты вступления в силу решения суда по настоящему делу забрать краны № 74.01.01 и № 74.01.02; с завода в пользу общества взыскана разница стоимости лизинговых платежей и стоимости оборудования в связи с исполнением договора финансовой аренды от 02.02.2017 № 49634-ФЛ/ПР-17 по крану № 74.01.01 в размере 1 447 132 руб. 99 коп. и 1 417 793 руб. 79 коп. в связи с исполнением договора финансовой аренды от 02.02.2017 № 49635-ФЛ/ПР-17 по крану № 74.01.02, штраф в соответствии с пунктом 8.4 договора в размере 2 340 000 руб., а также расходы, понесенные на проведение экспертиз, в размере 14 420 руб. 70 коп. и 92 933 руб. 39 коп.; в удовлетворении остальной части первоначальных требований отказано. Встречный иск удовлетворен. Произведен взаимозачет первоначальных и встречных исковых требований. Распределены судебные расходы. В кассационной жалобе, поданной в Верховный Суд Российской Федерации, завод, ссылаясь на нарушение судами норм материального и процессуального права, несоответствие их выводов фактическим обстоятельствам дела, просит отменить указанные судебные акты в части удовлетворения первоначальных исковых требований и направить дело на новое рассмотрение в Арбитражный суд Челябинской области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Частично удовлетворяя первоначальные исковые требования, суды первой и апелляционной инстанций, с выводами которых впоследствии согласился суд округа, руководствовались статьями 309 , 310 , 329 , 330 , 331 , 432 , 450 , 450.1 , 469 , 475 , 476 , 514 , 665 , 670 Гражданского кодекса Российской Федерации 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исходили из доказанности обществом факта поставки заводом товара, не соответствующего условиям договоров, - с наличием производственных недостатков, в результате которых он не может быть использован в том объеме и для тех целей, для которых приобретался. Выводы судов подробно мотивированы в обжалуемых судебных актах. Доводы заявителя, в том числе о принятии судебных актов о правах и обязанностях лиц, не участвовавших в деле, неправомерном отказе суда в удовлетворении ходатайства о проведении дополнительной экспертизы, несогласии с экспертным заключением, неподтвержденности наличия существенных недостатков производственного характера, были предметом рассмотрения судов и получили правовую оценку. Доводы кассационной жалобы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«Магнитогорский крановый завод»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