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 декабря 2021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решением Арбитражного суда города Москвы от 15.11.2019 иск удовлетворен. Постановлением Девятого арбитражного апелляционного суда от 09.04.2021, оставленным без изменения постановлением Арбитражного суда Московского округа от 28.06.2021, решение отменено, иск удовлетворен частично. В кассационной жалобе предприниматель просит о пересмотре судебных актов апелляционного и окружного судов, ссылаясь на противоречие их соглашению о расторжении договора. В силу части 1 статьи 291.11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(или) норм процессуального права, которые повлияли на исход дела и без устранения которых невозможны восстановление и защита нарушенных прав, свобод, законных интересов в сфере предпринимательской и иной экономической деятельности, а также защита охраняемых законом публичных интересов. Таких оснований в связи с доводами жалобы не усматривается. Апелляционный суд исследовал соглашение от 27.01.2017, заключенное сторонами в связи с расторжением договора лизинга, из которого возникает обязанность предпринимателя возвратить предмет лизинга и оплатить задолженность, пени, штрафы, возместить убытки. Учитывая несогласование сторонами размера обязательства лизингополучателя, суд определил сальдо встречных предоставлений в порядке, содержащемся в постановлении Пленума Высшего арбитражного Суда Российской Федерации от 14.03.2014 № 17 «Об отдельных вопросах, связанных с договором выкупного лизинга», и удовлетворил иск на определенную в таком порядке сумму. Таким образом, довод жалобы о противоречии судебных актов указанному соглашению противоречит его содержанию и установленным обстоятельствам дела. Руководствуясь статьями 291.6 , 291.8 Арбитражного процессуального кодекса Российской Федерации, судья Верховного Суда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индивидуальному предпринимателю ФИО1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Н.А. Ксенофонтова Суд: Верховный Суд РФ (подробнее) Судьи дела: Ксенофонтова Н.А. (судья) (подробнее)</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